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sz w:val="20"/>
          <w:szCs w:val="20"/>
          <w:highlight w:val="green"/>
        </w:rPr>
      </w:pPr>
      <w:r>
        <w:rPr>
          <w:rFonts w:ascii="Times New Roman" w:hAnsi="Times New Roman" w:eastAsia="宋体" w:cs="Times New Roman"/>
          <w:b/>
          <w:bCs/>
          <w:iCs/>
          <w:color w:val="000000"/>
          <w:kern w:val="0"/>
          <w:sz w:val="20"/>
          <w:szCs w:val="20"/>
          <w:lang w:bidi="ar"/>
        </w:rPr>
        <w:t xml:space="preserve">Additional file </w:t>
      </w:r>
      <w:r>
        <w:rPr>
          <w:rFonts w:hint="eastAsia" w:ascii="Times New Roman" w:hAnsi="Times New Roman" w:eastAsia="宋体" w:cs="Times New Roman"/>
          <w:b/>
          <w:bCs/>
          <w:iCs/>
          <w:color w:val="000000"/>
          <w:kern w:val="0"/>
          <w:sz w:val="20"/>
          <w:szCs w:val="20"/>
          <w:lang w:bidi="ar"/>
        </w:rPr>
        <w:t>4</w:t>
      </w:r>
      <w:r>
        <w:rPr>
          <w:rFonts w:ascii="Times New Roman" w:hAnsi="Times New Roman" w:eastAsia="宋体" w:cs="Times New Roman"/>
          <w:b/>
          <w:bCs/>
          <w:iCs/>
          <w:color w:val="000000"/>
          <w:kern w:val="0"/>
          <w:sz w:val="20"/>
          <w:szCs w:val="20"/>
          <w:lang w:bidi="ar"/>
        </w:rPr>
        <w:t xml:space="preserve">. Genes that may interact with </w:t>
      </w:r>
      <w:r>
        <w:rPr>
          <w:rFonts w:hint="default" w:ascii="Times New Roman" w:hAnsi="Times New Roman" w:eastAsia="宋体" w:cs="Times New Roman"/>
          <w:b/>
          <w:bCs/>
          <w:i/>
          <w:iCs w:val="0"/>
          <w:color w:val="000000"/>
          <w:kern w:val="0"/>
          <w:sz w:val="20"/>
          <w:szCs w:val="20"/>
          <w:lang w:bidi="ar"/>
        </w:rPr>
        <w:t>Ad</w:t>
      </w:r>
      <w:r>
        <w:rPr>
          <w:rFonts w:ascii="Times New Roman" w:hAnsi="Times New Roman" w:eastAsia="宋体" w:cs="Times New Roman"/>
          <w:b/>
          <w:bCs/>
          <w:i/>
          <w:iCs w:val="0"/>
          <w:color w:val="000000"/>
          <w:kern w:val="0"/>
          <w:sz w:val="20"/>
          <w:szCs w:val="20"/>
          <w:lang w:bidi="ar"/>
        </w:rPr>
        <w:t>LTP</w:t>
      </w:r>
      <w:r>
        <w:rPr>
          <w:rFonts w:ascii="Times New Roman" w:hAnsi="Times New Roman" w:eastAsia="宋体" w:cs="Times New Roman"/>
          <w:b/>
          <w:bCs/>
          <w:iCs/>
          <w:color w:val="000000"/>
          <w:kern w:val="0"/>
          <w:sz w:val="20"/>
          <w:szCs w:val="20"/>
          <w:lang w:bidi="ar"/>
        </w:rPr>
        <w:t xml:space="preserve"> genes involved in resistance to nematode infection.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0"/>
        <w:gridCol w:w="2940"/>
        <w:gridCol w:w="3842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0" w:type="dxa"/>
            <w:tcBorders>
              <w:bottom w:val="single" w:color="auto" w:sz="4" w:space="0"/>
            </w:tcBorders>
          </w:tcPr>
          <w:p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eastAsia="VhpwykAdvTTb5929f4c" w:cs="Times New Roman"/>
                <w:b/>
                <w:bCs/>
                <w:kern w:val="0"/>
                <w:sz w:val="20"/>
                <w:szCs w:val="20"/>
              </w:rPr>
              <w:t>Gene ID</w:t>
            </w:r>
          </w:p>
        </w:tc>
        <w:tc>
          <w:tcPr>
            <w:tcW w:w="2940" w:type="dxa"/>
            <w:tcBorders>
              <w:bottom w:val="single" w:color="auto" w:sz="4" w:space="0"/>
            </w:tcBorders>
          </w:tcPr>
          <w:p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eastAsia="VhpwykAdvTTb5929f4c" w:cs="Times New Roman"/>
                <w:b/>
                <w:bCs/>
                <w:kern w:val="0"/>
                <w:sz w:val="20"/>
                <w:szCs w:val="20"/>
              </w:rPr>
              <w:t>Gene name</w:t>
            </w:r>
          </w:p>
        </w:tc>
        <w:tc>
          <w:tcPr>
            <w:tcW w:w="3842" w:type="dxa"/>
            <w:tcBorders>
              <w:bottom w:val="single" w:color="auto" w:sz="4" w:space="0"/>
            </w:tcBorders>
          </w:tcPr>
          <w:p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eastAsia="VhpwykAdvTTb5929f4c" w:cs="Times New Roman"/>
                <w:b/>
                <w:bCs/>
                <w:color w:val="000000"/>
                <w:kern w:val="0"/>
                <w:sz w:val="20"/>
                <w:szCs w:val="20"/>
              </w:rPr>
              <w:t>GO annotation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0" w:type="dxa"/>
            <w:tcBorders>
              <w:top w:val="single" w:color="auto" w:sz="4" w:space="0"/>
              <w:tl2br w:val="nil"/>
              <w:tr2bl w:val="nil"/>
            </w:tcBorders>
          </w:tcPr>
          <w:p>
            <w:pPr>
              <w:tabs>
                <w:tab w:val="right" w:pos="8306"/>
              </w:tabs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fldChar w:fldCharType="begin"/>
            </w:r>
            <w:r>
              <w:instrText xml:space="preserve"> HYPERLINK "https://peanutbase.org/feature/Arachis/duranensis/mRNA/Aradu.TA471.1?pane=sequences" </w:instrText>
            </w:r>
            <w:r>
              <w:fldChar w:fldCharType="separate"/>
            </w:r>
            <w:r>
              <w:rPr>
                <w:rStyle w:val="5"/>
                <w:rFonts w:ascii="Times New Roman" w:hAnsi="Times New Roman" w:eastAsia="宋体" w:cs="Times New Roman"/>
                <w:bCs/>
                <w:color w:val="auto"/>
                <w:sz w:val="20"/>
                <w:szCs w:val="20"/>
                <w:u w:val="none"/>
              </w:rPr>
              <w:t>Aradu.TA471</w:t>
            </w:r>
            <w:r>
              <w:rPr>
                <w:rStyle w:val="5"/>
                <w:rFonts w:ascii="Times New Roman" w:hAnsi="Times New Roman" w:eastAsia="宋体" w:cs="Times New Roman"/>
                <w:bCs/>
                <w:color w:val="auto"/>
                <w:sz w:val="20"/>
                <w:szCs w:val="20"/>
                <w:u w:val="none"/>
              </w:rPr>
              <w:fldChar w:fldCharType="end"/>
            </w:r>
          </w:p>
        </w:tc>
        <w:tc>
          <w:tcPr>
            <w:tcW w:w="2940" w:type="dxa"/>
            <w:tcBorders>
              <w:top w:val="single" w:color="auto" w:sz="4" w:space="0"/>
              <w:tl2br w:val="nil"/>
              <w:tr2bl w:val="nil"/>
            </w:tcBorders>
          </w:tcPr>
          <w:p>
            <w:pPr>
              <w:tabs>
                <w:tab w:val="right" w:pos="8306"/>
              </w:tabs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sz w:val="20"/>
                <w:szCs w:val="20"/>
              </w:rPr>
              <w:t>E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xpansin B2</w:t>
            </w:r>
          </w:p>
        </w:tc>
        <w:tc>
          <w:tcPr>
            <w:tcW w:w="3842" w:type="dxa"/>
            <w:tcBorders>
              <w:top w:val="single" w:color="auto" w:sz="4" w:space="0"/>
              <w:tl2br w:val="nil"/>
              <w:tr2bl w:val="nil"/>
            </w:tcBorders>
          </w:tcPr>
          <w:p>
            <w:pPr>
              <w:tabs>
                <w:tab w:val="right" w:pos="8306"/>
              </w:tabs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GO:0005576 (extracellular region)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0" w:type="dxa"/>
            <w:tcBorders>
              <w:tl2br w:val="nil"/>
              <w:tr2bl w:val="nil"/>
            </w:tcBorders>
          </w:tcPr>
          <w:p>
            <w:pPr>
              <w:tabs>
                <w:tab w:val="right" w:pos="8306"/>
              </w:tabs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Aradu.Y057X</w:t>
            </w:r>
          </w:p>
        </w:tc>
        <w:tc>
          <w:tcPr>
            <w:tcW w:w="2940" w:type="dxa"/>
            <w:tcBorders>
              <w:tl2br w:val="nil"/>
              <w:tr2bl w:val="nil"/>
            </w:tcBorders>
          </w:tcPr>
          <w:p>
            <w:pPr>
              <w:tabs>
                <w:tab w:val="right" w:pos="8306"/>
              </w:tabs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sz w:val="20"/>
                <w:szCs w:val="20"/>
              </w:rPr>
              <w:t>P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rotein kinase family protein</w:t>
            </w:r>
          </w:p>
        </w:tc>
        <w:tc>
          <w:tcPr>
            <w:tcW w:w="3842" w:type="dxa"/>
            <w:tcBorders>
              <w:tl2br w:val="nil"/>
              <w:tr2bl w:val="nil"/>
            </w:tcBorders>
          </w:tcPr>
          <w:p>
            <w:pPr>
              <w:tabs>
                <w:tab w:val="right" w:pos="8306"/>
              </w:tabs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GO:0004672 (protein kinase activity), GO:0005524 (ATP binding), GO:0006468 (protein phosphorylation)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0" w:type="dxa"/>
            <w:tcBorders>
              <w:tl2br w:val="nil"/>
              <w:tr2bl w:val="nil"/>
            </w:tcBorders>
          </w:tcPr>
          <w:p>
            <w:pPr>
              <w:tabs>
                <w:tab w:val="right" w:pos="8306"/>
              </w:tabs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Aradu.U0BFW</w:t>
            </w:r>
          </w:p>
        </w:tc>
        <w:tc>
          <w:tcPr>
            <w:tcW w:w="2940" w:type="dxa"/>
            <w:tcBorders>
              <w:tl2br w:val="nil"/>
              <w:tr2bl w:val="nil"/>
            </w:tcBorders>
          </w:tcPr>
          <w:p>
            <w:pPr>
              <w:tabs>
                <w:tab w:val="right" w:pos="8306"/>
              </w:tabs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Protein kinase family protein</w:t>
            </w:r>
          </w:p>
        </w:tc>
        <w:tc>
          <w:tcPr>
            <w:tcW w:w="3842" w:type="dxa"/>
            <w:tcBorders>
              <w:tl2br w:val="nil"/>
              <w:tr2bl w:val="nil"/>
            </w:tcBorders>
          </w:tcPr>
          <w:p>
            <w:pPr>
              <w:tabs>
                <w:tab w:val="left" w:pos="892"/>
              </w:tabs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GO:0004672 (protein kinase activity), GO:0005524 (ATP binding), GO:0006468 (protein phosphorylation)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fldChar w:fldCharType="begin"/>
            </w:r>
            <w:r>
              <w:instrText xml:space="preserve"> HYPERLINK "https://peanutbase.org/feature/Arachis/duranensis/mRNA/Aradu.WUI6W.1?pane=sequences" </w:instrText>
            </w:r>
            <w:r>
              <w:fldChar w:fldCharType="separate"/>
            </w:r>
            <w:r>
              <w:rPr>
                <w:rStyle w:val="5"/>
                <w:rFonts w:ascii="Times New Roman" w:hAnsi="Times New Roman" w:eastAsia="宋体" w:cs="Times New Roman"/>
                <w:bCs/>
                <w:color w:val="auto"/>
                <w:sz w:val="20"/>
                <w:szCs w:val="20"/>
                <w:u w:val="none"/>
              </w:rPr>
              <w:t>Aradu.WUI6W</w:t>
            </w:r>
            <w:r>
              <w:rPr>
                <w:rStyle w:val="5"/>
                <w:rFonts w:ascii="Times New Roman" w:hAnsi="Times New Roman" w:eastAsia="宋体" w:cs="Times New Roman"/>
                <w:bCs/>
                <w:color w:val="auto"/>
                <w:sz w:val="20"/>
                <w:szCs w:val="20"/>
                <w:u w:val="none"/>
              </w:rPr>
              <w:fldChar w:fldCharType="end"/>
            </w:r>
          </w:p>
        </w:tc>
        <w:tc>
          <w:tcPr>
            <w:tcW w:w="294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sz w:val="20"/>
                <w:szCs w:val="20"/>
              </w:rPr>
              <w:t>R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eceptor-like protein kinase 4</w:t>
            </w:r>
          </w:p>
        </w:tc>
        <w:tc>
          <w:tcPr>
            <w:tcW w:w="3842" w:type="dxa"/>
            <w:tcBorders>
              <w:tl2br w:val="nil"/>
              <w:tr2bl w:val="nil"/>
            </w:tcBorders>
          </w:tcPr>
          <w:p>
            <w:pPr>
              <w:tabs>
                <w:tab w:val="right" w:pos="8306"/>
              </w:tabs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GO:0004672 (protein kinase activity), GO:0005524 (ATP binding), GO:0006468 (protein phosphorylation)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fldChar w:fldCharType="begin"/>
            </w:r>
            <w:r>
              <w:instrText xml:space="preserve"> HYPERLINK "https://peanutbase.org/feature/Arachis/duranensis/mRNA/Aradu.R0CN0.1?pane=sequences" </w:instrText>
            </w:r>
            <w:r>
              <w:fldChar w:fldCharType="separate"/>
            </w:r>
            <w:r>
              <w:rPr>
                <w:rStyle w:val="5"/>
                <w:rFonts w:ascii="Times New Roman" w:hAnsi="Times New Roman" w:eastAsia="宋体" w:cs="Times New Roman"/>
                <w:bCs/>
                <w:color w:val="auto"/>
                <w:sz w:val="20"/>
                <w:szCs w:val="20"/>
                <w:u w:val="none"/>
              </w:rPr>
              <w:t>Aradu.R0CN0</w:t>
            </w:r>
            <w:r>
              <w:rPr>
                <w:rStyle w:val="5"/>
                <w:rFonts w:ascii="Times New Roman" w:hAnsi="Times New Roman" w:eastAsia="宋体" w:cs="Times New Roman"/>
                <w:bCs/>
                <w:color w:val="auto"/>
                <w:sz w:val="20"/>
                <w:szCs w:val="20"/>
                <w:u w:val="none"/>
              </w:rPr>
              <w:fldChar w:fldCharType="end"/>
            </w:r>
          </w:p>
        </w:tc>
        <w:tc>
          <w:tcPr>
            <w:tcW w:w="2940" w:type="dxa"/>
            <w:tcBorders>
              <w:tl2br w:val="nil"/>
              <w:tr2bl w:val="nil"/>
            </w:tcBorders>
          </w:tcPr>
          <w:p>
            <w:pPr>
              <w:tabs>
                <w:tab w:val="right" w:pos="8306"/>
              </w:tabs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sz w:val="20"/>
                <w:szCs w:val="20"/>
              </w:rPr>
              <w:t>R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eceptor like protein 21</w:t>
            </w:r>
          </w:p>
        </w:tc>
        <w:tc>
          <w:tcPr>
            <w:tcW w:w="3842" w:type="dxa"/>
            <w:tcBorders>
              <w:tl2br w:val="nil"/>
              <w:tr2bl w:val="nil"/>
            </w:tcBorders>
          </w:tcPr>
          <w:p>
            <w:pPr>
              <w:widowControl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eastAsia="VhpwykAdvTTb5929f4c" w:cs="Times New Roman"/>
                <w:bCs/>
                <w:color w:val="000000"/>
                <w:kern w:val="0"/>
                <w:sz w:val="20"/>
                <w:szCs w:val="20"/>
              </w:rPr>
              <w:t>No detection</w:t>
            </w:r>
          </w:p>
          <w:p>
            <w:pPr>
              <w:tabs>
                <w:tab w:val="left" w:pos="867"/>
              </w:tabs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fldChar w:fldCharType="begin"/>
            </w:r>
            <w:r>
              <w:instrText xml:space="preserve"> HYPERLINK "https://peanutbase.org/feature/Arachis/duranensis/mRNA/Aradu.B5LWU.1?pane=sequences" </w:instrText>
            </w:r>
            <w:r>
              <w:fldChar w:fldCharType="separate"/>
            </w:r>
            <w:r>
              <w:rPr>
                <w:rStyle w:val="5"/>
                <w:rFonts w:ascii="Times New Roman" w:hAnsi="Times New Roman" w:eastAsia="宋体" w:cs="Times New Roman"/>
                <w:bCs/>
                <w:color w:val="auto"/>
                <w:sz w:val="20"/>
                <w:szCs w:val="20"/>
                <w:u w:val="none"/>
              </w:rPr>
              <w:t>Aradu.B5LWU</w:t>
            </w:r>
            <w:r>
              <w:rPr>
                <w:rStyle w:val="5"/>
                <w:rFonts w:ascii="Times New Roman" w:hAnsi="Times New Roman" w:eastAsia="宋体" w:cs="Times New Roman"/>
                <w:bCs/>
                <w:color w:val="auto"/>
                <w:sz w:val="20"/>
                <w:szCs w:val="20"/>
                <w:u w:val="none"/>
              </w:rPr>
              <w:fldChar w:fldCharType="end"/>
            </w:r>
          </w:p>
        </w:tc>
        <w:tc>
          <w:tcPr>
            <w:tcW w:w="294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sz w:val="20"/>
                <w:szCs w:val="20"/>
              </w:rPr>
              <w:t>K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unitz trypsin inhibitor 1</w:t>
            </w:r>
          </w:p>
        </w:tc>
        <w:tc>
          <w:tcPr>
            <w:tcW w:w="3842" w:type="dxa"/>
            <w:tcBorders>
              <w:tl2br w:val="nil"/>
              <w:tr2bl w:val="nil"/>
            </w:tcBorders>
          </w:tcPr>
          <w:p>
            <w:pPr>
              <w:tabs>
                <w:tab w:val="right" w:pos="8306"/>
              </w:tabs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GO:0004866 (endopeptidase inhibitor activity)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0" w:type="dxa"/>
            <w:tcBorders>
              <w:tl2br w:val="nil"/>
              <w:tr2bl w:val="nil"/>
            </w:tcBorders>
          </w:tcPr>
          <w:p>
            <w:pPr>
              <w:tabs>
                <w:tab w:val="right" w:pos="8306"/>
              </w:tabs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Aradu.UIP3J</w:t>
            </w:r>
          </w:p>
        </w:tc>
        <w:tc>
          <w:tcPr>
            <w:tcW w:w="294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K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unitzkunitz trypsin inhibitor 1;</w:t>
            </w:r>
          </w:p>
        </w:tc>
        <w:tc>
          <w:tcPr>
            <w:tcW w:w="3842" w:type="dxa"/>
            <w:tcBorders>
              <w:tl2br w:val="nil"/>
              <w:tr2bl w:val="nil"/>
            </w:tcBorders>
          </w:tcPr>
          <w:p>
            <w:pPr>
              <w:tabs>
                <w:tab w:val="right" w:pos="8306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GO:0004866 (endopeptidase inhibitor activity)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0" w:type="dxa"/>
            <w:tcBorders>
              <w:tl2br w:val="nil"/>
              <w:tr2bl w:val="nil"/>
            </w:tcBorders>
          </w:tcPr>
          <w:p>
            <w:pPr>
              <w:tabs>
                <w:tab w:val="right" w:pos="8306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Aradu.IA24F</w:t>
            </w:r>
          </w:p>
        </w:tc>
        <w:tc>
          <w:tcPr>
            <w:tcW w:w="2940" w:type="dxa"/>
            <w:tcBorders>
              <w:tl2br w:val="nil"/>
              <w:tr2bl w:val="nil"/>
            </w:tcBorders>
          </w:tcPr>
          <w:p>
            <w:pPr>
              <w:tabs>
                <w:tab w:val="right" w:pos="8306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LRR and NB-ARC domain disease resistance protein</w:t>
            </w:r>
          </w:p>
        </w:tc>
        <w:tc>
          <w:tcPr>
            <w:tcW w:w="3842" w:type="dxa"/>
            <w:tcBorders>
              <w:tl2br w:val="nil"/>
              <w:tr2bl w:val="nil"/>
            </w:tcBorders>
          </w:tcPr>
          <w:p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VhpwykAdvTTb5929f4c" w:cs="Times New Roman"/>
                <w:color w:val="000000"/>
                <w:kern w:val="0"/>
                <w:sz w:val="20"/>
                <w:szCs w:val="20"/>
              </w:rPr>
              <w:t>No detection</w:t>
            </w:r>
          </w:p>
          <w:p>
            <w:pPr>
              <w:tabs>
                <w:tab w:val="right" w:pos="8306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>
      <w:pPr>
        <w:widowControl/>
        <w:jc w:val="left"/>
        <w:rPr>
          <w:rFonts w:ascii="Times New Roman" w:hAnsi="Times New Roman" w:eastAsia="宋体" w:cs="Times New Roman"/>
          <w:iCs/>
          <w:color w:val="000000"/>
          <w:kern w:val="0"/>
          <w:sz w:val="20"/>
          <w:szCs w:val="20"/>
          <w:lang w:bidi="ar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VhpwykAdvTTb5929f4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056053"/>
    <w:rsid w:val="0B05605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2019-12-17T02:21:00Z</dcterms:created>
  <dc:creator>NTKO</dc:creator>
  <cp:lastModifiedBy>NTKO</cp:lastModifiedBy>
  <dcterms:modified xsi:type="dcterms:W3CDTF">2019-12-17T02:22:26Z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